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5C691DB5" w14:textId="77777777" w:rsidR="005F4C02" w:rsidRDefault="00B220AD" w:rsidP="005F4C02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bookmarkStart w:id="3" w:name="_Hlk233902128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4" w:name="_Hlk151623823"/>
      <w:bookmarkStart w:id="5" w:name="_Hlk154071928"/>
      <w:bookmarkEnd w:id="0"/>
      <w:bookmarkEnd w:id="1"/>
      <w:r>
        <w:rPr>
          <w:b/>
          <w:sz w:val="28"/>
          <w:szCs w:val="28"/>
        </w:rPr>
        <w:t xml:space="preserve"> </w:t>
      </w:r>
      <w:bookmarkEnd w:id="2"/>
      <w:bookmarkEnd w:id="4"/>
      <w:bookmarkEnd w:id="5"/>
      <w:r w:rsidR="005F4C02" w:rsidRPr="005F4C02">
        <w:rPr>
          <w:b/>
          <w:sz w:val="28"/>
          <w:szCs w:val="28"/>
        </w:rPr>
        <w:t xml:space="preserve">«Ансамбль усадьбы Алехиных», </w:t>
      </w:r>
    </w:p>
    <w:p w14:paraId="7F303B9B" w14:textId="77777777" w:rsidR="005F4C02" w:rsidRDefault="005F4C02" w:rsidP="005F4C02">
      <w:pPr>
        <w:jc w:val="center"/>
        <w:rPr>
          <w:b/>
          <w:sz w:val="28"/>
          <w:szCs w:val="28"/>
        </w:rPr>
      </w:pPr>
      <w:r w:rsidRPr="005F4C02">
        <w:rPr>
          <w:b/>
          <w:sz w:val="28"/>
          <w:szCs w:val="28"/>
        </w:rPr>
        <w:t xml:space="preserve">начало ХХ века, расположенного по адресу: Курская область, Касторенский район, посёлок Новодворский, </w:t>
      </w:r>
    </w:p>
    <w:p w14:paraId="7958C57D" w14:textId="344BA160" w:rsidR="00B220AD" w:rsidRDefault="005F4C02" w:rsidP="005F4C02">
      <w:pPr>
        <w:jc w:val="center"/>
        <w:rPr>
          <w:b/>
          <w:sz w:val="28"/>
          <w:szCs w:val="28"/>
        </w:rPr>
      </w:pPr>
      <w:r w:rsidRPr="005F4C02">
        <w:rPr>
          <w:b/>
          <w:sz w:val="28"/>
          <w:szCs w:val="28"/>
        </w:rPr>
        <w:t>улица Школьная, дом 34, улица Школьная, дом 36</w:t>
      </w:r>
      <w:bookmarkEnd w:id="3"/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68638B69" w:rsidR="00B220AD" w:rsidRPr="001F3ABF" w:rsidRDefault="00B220AD" w:rsidP="005F4C02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5F4C02" w:rsidRPr="005F4C02">
        <w:rPr>
          <w:sz w:val="28"/>
          <w:szCs w:val="28"/>
        </w:rPr>
        <w:t>«Ансамбль усадьбы Алехиных</w:t>
      </w:r>
      <w:proofErr w:type="gramStart"/>
      <w:r w:rsidR="005F4C02" w:rsidRPr="005F4C02">
        <w:rPr>
          <w:sz w:val="28"/>
          <w:szCs w:val="28"/>
        </w:rPr>
        <w:t xml:space="preserve">», </w:t>
      </w:r>
      <w:r w:rsidR="005F4C02">
        <w:rPr>
          <w:sz w:val="28"/>
          <w:szCs w:val="28"/>
        </w:rPr>
        <w:t xml:space="preserve">  </w:t>
      </w:r>
      <w:proofErr w:type="gramEnd"/>
      <w:r w:rsidR="005F4C02">
        <w:rPr>
          <w:sz w:val="28"/>
          <w:szCs w:val="28"/>
        </w:rPr>
        <w:t xml:space="preserve">             </w:t>
      </w:r>
      <w:r w:rsidR="005F4C02" w:rsidRPr="005F4C02">
        <w:rPr>
          <w:sz w:val="28"/>
          <w:szCs w:val="28"/>
        </w:rPr>
        <w:t>начало ХХ века, расположенного по адресу: Курская область, Касторенский район, посёлок Новодворский, улица Школьная, дом 34, улица Школьная, дом 36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007052F8" w:rsidR="00B220AD" w:rsidRDefault="00B220AD" w:rsidP="00B220A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5DAD3FDF" w14:textId="77777777" w:rsidR="005F4C02" w:rsidRDefault="005F4C02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0C82B075" w14:textId="77777777" w:rsidR="00CB76CF" w:rsidRPr="0098141E" w:rsidRDefault="00CB76CF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6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6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787638CF" w14:textId="77777777" w:rsidR="005F4C02" w:rsidRDefault="005F4C02" w:rsidP="005F4C02">
      <w:pPr>
        <w:jc w:val="center"/>
        <w:rPr>
          <w:rFonts w:ascii="XO Thames" w:hAnsi="XO Thames"/>
          <w:b/>
          <w:sz w:val="28"/>
          <w:szCs w:val="28"/>
        </w:rPr>
      </w:pPr>
      <w:bookmarkStart w:id="7" w:name="_Hlk216338482"/>
      <w:r w:rsidRPr="005F4C02">
        <w:rPr>
          <w:rFonts w:ascii="XO Thames" w:hAnsi="XO Thames"/>
          <w:b/>
          <w:sz w:val="28"/>
          <w:szCs w:val="28"/>
        </w:rPr>
        <w:t xml:space="preserve">«Ансамбль усадьбы Алехиных», начало ХХ века, </w:t>
      </w:r>
    </w:p>
    <w:p w14:paraId="120126C1" w14:textId="77777777" w:rsidR="005F4C02" w:rsidRDefault="005F4C02" w:rsidP="005F4C02">
      <w:pPr>
        <w:jc w:val="center"/>
        <w:rPr>
          <w:rFonts w:ascii="XO Thames" w:hAnsi="XO Thames"/>
          <w:b/>
          <w:sz w:val="28"/>
          <w:szCs w:val="28"/>
        </w:rPr>
      </w:pPr>
      <w:r w:rsidRPr="005F4C02">
        <w:rPr>
          <w:rFonts w:ascii="XO Thames" w:hAnsi="XO Thames"/>
          <w:b/>
          <w:sz w:val="28"/>
          <w:szCs w:val="28"/>
        </w:rPr>
        <w:t xml:space="preserve">расположенного по адресу: Курская область, Касторенский район, посёлок Новодворский, улица Школьная, дом 34, </w:t>
      </w:r>
    </w:p>
    <w:p w14:paraId="351BEB43" w14:textId="5964FB14" w:rsidR="00B220AD" w:rsidRDefault="005F4C02" w:rsidP="005F4C02">
      <w:pPr>
        <w:jc w:val="center"/>
        <w:rPr>
          <w:rFonts w:ascii="XO Thames" w:hAnsi="XO Thames"/>
          <w:b/>
          <w:sz w:val="28"/>
          <w:szCs w:val="28"/>
        </w:rPr>
      </w:pPr>
      <w:r w:rsidRPr="005F4C02">
        <w:rPr>
          <w:rFonts w:ascii="XO Thames" w:hAnsi="XO Thames"/>
          <w:b/>
          <w:sz w:val="28"/>
          <w:szCs w:val="28"/>
        </w:rPr>
        <w:t>улица Школьная, дом 36</w:t>
      </w:r>
    </w:p>
    <w:bookmarkEnd w:id="7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2E575FD1" w14:textId="77777777" w:rsidR="005F4C02" w:rsidRDefault="00694373" w:rsidP="005F4C02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Градостроительная охрана:</w:t>
      </w:r>
    </w:p>
    <w:p w14:paraId="65D3AD36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Pr="005F4C02">
        <w:rPr>
          <w:bCs/>
          <w:color w:val="auto"/>
          <w:sz w:val="28"/>
          <w:szCs w:val="28"/>
        </w:rPr>
        <w:t>естоположение объектов ансамбля, их градостроительные характеристики, роль в композиционно-планировочной структуре исторической части посёлка Новодворского.</w:t>
      </w:r>
    </w:p>
    <w:p w14:paraId="4D8992F3" w14:textId="3E387C02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  <w:r w:rsidRPr="005F4C02">
        <w:rPr>
          <w:bCs/>
          <w:color w:val="auto"/>
          <w:sz w:val="28"/>
          <w:szCs w:val="28"/>
        </w:rPr>
        <w:t xml:space="preserve">Пространственно-планировочная структура ансамбля, включая соотношение застроенных и незастроенных площадей, функциональная организация территории, местоположение </w:t>
      </w:r>
      <w:r w:rsidR="00B11F87">
        <w:rPr>
          <w:bCs/>
          <w:color w:val="auto"/>
          <w:sz w:val="28"/>
          <w:szCs w:val="28"/>
        </w:rPr>
        <w:t>зданий – объектов культурного наследия</w:t>
      </w:r>
      <w:r>
        <w:rPr>
          <w:bCs/>
          <w:color w:val="auto"/>
          <w:sz w:val="28"/>
          <w:szCs w:val="28"/>
        </w:rPr>
        <w:t xml:space="preserve"> </w:t>
      </w:r>
      <w:r w:rsidRPr="005F4C02">
        <w:rPr>
          <w:bCs/>
          <w:color w:val="auto"/>
          <w:sz w:val="28"/>
          <w:szCs w:val="28"/>
        </w:rPr>
        <w:t>«Главный усадебный дом», начало ХХ века, «Амбар</w:t>
      </w:r>
      <w:proofErr w:type="gramStart"/>
      <w:r w:rsidRPr="005F4C02">
        <w:rPr>
          <w:bCs/>
          <w:color w:val="auto"/>
          <w:sz w:val="28"/>
          <w:szCs w:val="28"/>
        </w:rPr>
        <w:t xml:space="preserve">», </w:t>
      </w:r>
      <w:r w:rsidR="00B11F87">
        <w:rPr>
          <w:bCs/>
          <w:color w:val="auto"/>
          <w:sz w:val="28"/>
          <w:szCs w:val="28"/>
        </w:rPr>
        <w:t xml:space="preserve">  </w:t>
      </w:r>
      <w:proofErr w:type="gramEnd"/>
      <w:r w:rsidR="00B11F87">
        <w:rPr>
          <w:bCs/>
          <w:color w:val="auto"/>
          <w:sz w:val="28"/>
          <w:szCs w:val="28"/>
        </w:rPr>
        <w:t xml:space="preserve">                 </w:t>
      </w:r>
      <w:r w:rsidRPr="005F4C02">
        <w:rPr>
          <w:bCs/>
          <w:color w:val="auto"/>
          <w:sz w:val="28"/>
          <w:szCs w:val="28"/>
        </w:rPr>
        <w:t>начало ХХ века, силуэтные характеристики ансамбля.</w:t>
      </w:r>
    </w:p>
    <w:p w14:paraId="43DAEDA8" w14:textId="31D75995" w:rsidR="005F4C02" w:rsidRP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  <w:r w:rsidRPr="005F4C02">
        <w:rPr>
          <w:bCs/>
          <w:color w:val="auto"/>
          <w:sz w:val="28"/>
          <w:szCs w:val="28"/>
        </w:rPr>
        <w:t xml:space="preserve">Видовые раскрытия на ансамбль при въезде в посёлок Новодворский, внутридворовые раскрытия на объекты усадьбы. </w:t>
      </w:r>
    </w:p>
    <w:p w14:paraId="56890DA6" w14:textId="7C8FF2A0" w:rsidR="005F4C02" w:rsidRP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  <w:r w:rsidRPr="005F4C02">
        <w:rPr>
          <w:bCs/>
          <w:color w:val="auto"/>
          <w:sz w:val="28"/>
          <w:szCs w:val="28"/>
        </w:rPr>
        <w:t xml:space="preserve"> Композиционные и высотные акценты, представленные</w:t>
      </w:r>
      <w:r>
        <w:rPr>
          <w:bCs/>
          <w:color w:val="auto"/>
          <w:sz w:val="28"/>
          <w:szCs w:val="28"/>
        </w:rPr>
        <w:t xml:space="preserve"> </w:t>
      </w:r>
      <w:r w:rsidR="00B11F87">
        <w:rPr>
          <w:bCs/>
          <w:color w:val="auto"/>
          <w:sz w:val="28"/>
          <w:szCs w:val="28"/>
        </w:rPr>
        <w:t xml:space="preserve">                   </w:t>
      </w:r>
      <w:r>
        <w:rPr>
          <w:bCs/>
          <w:color w:val="auto"/>
          <w:sz w:val="28"/>
          <w:szCs w:val="28"/>
        </w:rPr>
        <w:t>зданиями</w:t>
      </w:r>
      <w:r w:rsidR="00B11F87">
        <w:rPr>
          <w:bCs/>
          <w:color w:val="auto"/>
          <w:sz w:val="28"/>
          <w:szCs w:val="28"/>
        </w:rPr>
        <w:t xml:space="preserve"> – объектами культурного наследия</w:t>
      </w:r>
      <w:r>
        <w:rPr>
          <w:bCs/>
          <w:color w:val="auto"/>
          <w:sz w:val="28"/>
          <w:szCs w:val="28"/>
        </w:rPr>
        <w:t xml:space="preserve"> </w:t>
      </w:r>
      <w:r w:rsidRPr="005F4C02">
        <w:rPr>
          <w:bCs/>
          <w:color w:val="auto"/>
          <w:sz w:val="28"/>
          <w:szCs w:val="28"/>
        </w:rPr>
        <w:t xml:space="preserve">«Главный усадебный дом», начало ХХ века, «Амбар», начало ХХ века. </w:t>
      </w:r>
    </w:p>
    <w:p w14:paraId="074C5D8B" w14:textId="7D948AC3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  <w:r w:rsidRPr="005F4C02">
        <w:rPr>
          <w:bCs/>
          <w:color w:val="auto"/>
          <w:sz w:val="28"/>
          <w:szCs w:val="28"/>
        </w:rPr>
        <w:t xml:space="preserve"> Композиционные, объемно-пространственные характеристики ансамбля:</w:t>
      </w:r>
      <w:r>
        <w:rPr>
          <w:bCs/>
          <w:color w:val="auto"/>
          <w:sz w:val="28"/>
          <w:szCs w:val="28"/>
        </w:rPr>
        <w:t xml:space="preserve"> </w:t>
      </w:r>
      <w:r w:rsidRPr="005F4C02">
        <w:rPr>
          <w:bCs/>
          <w:color w:val="auto"/>
          <w:sz w:val="28"/>
          <w:szCs w:val="28"/>
        </w:rPr>
        <w:t>объемно-пространственная организация ансамбля, местоположение зданий, их габариты и композиционное взаимодействие: территория усадьбы, расположенная вблизи подъездной дороги смешанного типа планировочной композиции, где восприятие элементов усадьбы организовано с глубинно-пространственным и панорамным построением, а также панорамным восприятием по ширине и высоте вдоль исторической дороги.</w:t>
      </w:r>
    </w:p>
    <w:p w14:paraId="53D5E6C3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104DFFB7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0F18D71D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11200CA8" w14:textId="77777777" w:rsidR="005F4C02" w:rsidRDefault="005F4C02" w:rsidP="00B11F87">
      <w:pPr>
        <w:jc w:val="both"/>
        <w:rPr>
          <w:bCs/>
          <w:color w:val="auto"/>
          <w:sz w:val="28"/>
          <w:szCs w:val="28"/>
        </w:rPr>
      </w:pPr>
    </w:p>
    <w:p w14:paraId="13145621" w14:textId="77777777" w:rsidR="00B11F87" w:rsidRDefault="00B11F87" w:rsidP="00B11F87">
      <w:pPr>
        <w:jc w:val="both"/>
        <w:rPr>
          <w:bCs/>
          <w:color w:val="auto"/>
          <w:sz w:val="28"/>
          <w:szCs w:val="28"/>
        </w:rPr>
      </w:pPr>
    </w:p>
    <w:p w14:paraId="2758CB31" w14:textId="77777777" w:rsidR="005F4C02" w:rsidRDefault="005F4C02" w:rsidP="005F4C02">
      <w:pPr>
        <w:ind w:firstLine="709"/>
        <w:jc w:val="both"/>
        <w:rPr>
          <w:bCs/>
          <w:color w:val="auto"/>
          <w:sz w:val="28"/>
          <w:szCs w:val="28"/>
        </w:rPr>
      </w:pPr>
    </w:p>
    <w:p w14:paraId="560D2FA2" w14:textId="61227992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  <w:r w:rsidRPr="005F4C02">
        <w:rPr>
          <w:b/>
          <w:bCs/>
          <w:color w:val="auto"/>
          <w:sz w:val="28"/>
          <w:szCs w:val="28"/>
        </w:rPr>
        <w:lastRenderedPageBreak/>
        <w:t>Ситуационные планы. Местоположение</w:t>
      </w:r>
    </w:p>
    <w:p w14:paraId="7B67CB31" w14:textId="77777777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</w:p>
    <w:p w14:paraId="6F7FA2E3" w14:textId="29F99C1D" w:rsidR="005F4C02" w:rsidRDefault="005F4C02" w:rsidP="005F4C02">
      <w:pPr>
        <w:jc w:val="center"/>
        <w:rPr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67E6CEB6" wp14:editId="43B63F3A">
            <wp:extent cx="5760085" cy="4100830"/>
            <wp:effectExtent l="0" t="0" r="0" b="0"/>
            <wp:docPr id="6612931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931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38864" w14:textId="7EA89FEF" w:rsidR="005F4C02" w:rsidRDefault="00260B61" w:rsidP="00260B61">
      <w:pPr>
        <w:jc w:val="center"/>
        <w:rPr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2D9FE4BE" wp14:editId="14E19A67">
            <wp:extent cx="5760085" cy="4422775"/>
            <wp:effectExtent l="0" t="0" r="0" b="0"/>
            <wp:docPr id="1151171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714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D1BF" w14:textId="2C931A88" w:rsidR="001066B5" w:rsidRPr="000757C5" w:rsidRDefault="001066B5" w:rsidP="00B145E3">
      <w:pPr>
        <w:spacing w:after="160" w:line="259" w:lineRule="auto"/>
        <w:rPr>
          <w:sz w:val="28"/>
          <w:szCs w:val="28"/>
        </w:rPr>
      </w:pPr>
    </w:p>
    <w:sectPr w:rsidR="001066B5" w:rsidRPr="000757C5" w:rsidSect="00F86BCA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105C1" w14:textId="77777777" w:rsidR="00C23FC8" w:rsidRDefault="00C23FC8" w:rsidP="006E2922">
      <w:r>
        <w:separator/>
      </w:r>
    </w:p>
  </w:endnote>
  <w:endnote w:type="continuationSeparator" w:id="0">
    <w:p w14:paraId="5831E456" w14:textId="77777777" w:rsidR="00C23FC8" w:rsidRDefault="00C23FC8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7C21B" w14:textId="77777777" w:rsidR="00C23FC8" w:rsidRDefault="00C23FC8" w:rsidP="006E2922">
      <w:r>
        <w:separator/>
      </w:r>
    </w:p>
  </w:footnote>
  <w:footnote w:type="continuationSeparator" w:id="0">
    <w:p w14:paraId="69088BFF" w14:textId="77777777" w:rsidR="00C23FC8" w:rsidRDefault="00C23FC8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66C"/>
    <w:rsid w:val="001F709A"/>
    <w:rsid w:val="001F7D30"/>
    <w:rsid w:val="0021596E"/>
    <w:rsid w:val="002225B8"/>
    <w:rsid w:val="0022561D"/>
    <w:rsid w:val="00230AEC"/>
    <w:rsid w:val="00244B6B"/>
    <w:rsid w:val="00246E80"/>
    <w:rsid w:val="00247254"/>
    <w:rsid w:val="00253031"/>
    <w:rsid w:val="00254A1A"/>
    <w:rsid w:val="0026081C"/>
    <w:rsid w:val="00260B61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04B6"/>
    <w:rsid w:val="002D1BF9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A0098"/>
    <w:rsid w:val="003B7563"/>
    <w:rsid w:val="003C11A5"/>
    <w:rsid w:val="003C2C0F"/>
    <w:rsid w:val="003C73DC"/>
    <w:rsid w:val="003D009C"/>
    <w:rsid w:val="003D273A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3435"/>
    <w:rsid w:val="00594555"/>
    <w:rsid w:val="005B334D"/>
    <w:rsid w:val="005B3BF5"/>
    <w:rsid w:val="005C0F6D"/>
    <w:rsid w:val="005D3FC1"/>
    <w:rsid w:val="005D6AE3"/>
    <w:rsid w:val="005E0D21"/>
    <w:rsid w:val="005E36DB"/>
    <w:rsid w:val="005E3EA1"/>
    <w:rsid w:val="005F4C02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B5963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B429A"/>
    <w:rsid w:val="00AD10A9"/>
    <w:rsid w:val="00AD4C87"/>
    <w:rsid w:val="00AD7248"/>
    <w:rsid w:val="00AE005A"/>
    <w:rsid w:val="00AE69E6"/>
    <w:rsid w:val="00AF4041"/>
    <w:rsid w:val="00B11F87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23FC8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009D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227</cp:revision>
  <cp:lastPrinted>2025-12-15T07:03:00Z</cp:lastPrinted>
  <dcterms:created xsi:type="dcterms:W3CDTF">2020-12-16T15:20:00Z</dcterms:created>
  <dcterms:modified xsi:type="dcterms:W3CDTF">2026-07-02T14:19:00Z</dcterms:modified>
</cp:coreProperties>
</file>